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党员发展对象公示表</w:t>
      </w:r>
    </w:p>
    <w:p>
      <w:pPr>
        <w:widowControl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 w:eastAsia="仿宋_GB2312" w:cs="宋体"/>
          <w:kern w:val="0"/>
          <w:sz w:val="28"/>
          <w:szCs w:val="28"/>
        </w:rPr>
        <w:t> </w:t>
      </w:r>
    </w:p>
    <w:p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根据发展党员公示制的有关规定，福州理工学院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应用科学与工程学院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党支部近期拟讨论下列同志确定为发展对象。公示如下：</w:t>
      </w:r>
    </w:p>
    <w:tbl>
      <w:tblPr>
        <w:tblStyle w:val="5"/>
        <w:tblW w:w="8326" w:type="dxa"/>
        <w:jc w:val="center"/>
        <w:tblCellSpacing w:w="0" w:type="dxa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508"/>
        <w:gridCol w:w="851"/>
        <w:gridCol w:w="2693"/>
        <w:gridCol w:w="553"/>
        <w:gridCol w:w="1335"/>
        <w:gridCol w:w="1608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  <w:tblCellSpacing w:w="0" w:type="dxa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年月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确定入党积极分子时间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 xml:space="preserve">培养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联系人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杨馨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2000.05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2018级广告学1班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2019.04.03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陈建海、颜其策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李琪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2000.05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2018级广告学1班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2019.04.03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陈建海、颜其策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许晶晶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2000.11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2019级广告学1班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2020.04.28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林  宝、吴雅玲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tblCellSpacing w:w="0" w:type="dxa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张晶晶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2000.06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2019级广告学1班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2020.04.28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林  宝、吴雅玲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谢靓靓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2000.10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2019级网络与新媒体1班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2020.04.28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林  宝、吴雅玲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俞睿豪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2000.12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2019级网络与新媒体1班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2020.04.28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林  宝、吴雅玲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洪婧婷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2001.02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2019级网络与新媒体1班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2020.04.28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林  宝、吴雅玲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吴颖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2000.08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2019级广告设计与制作1班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2020.04.28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林  宝、吴雅玲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刘榕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2001.04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2019级广告设计与制作2班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2020.04.28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林  宝、吴雅玲</w:t>
            </w:r>
          </w:p>
        </w:tc>
      </w:tr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赖琬瑛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2000.11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2019级广告设计与制作4班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2020.04.28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林  宝、吴雅玲</w:t>
            </w:r>
          </w:p>
        </w:tc>
      </w:tr>
    </w:tbl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本公示自即日起7天内(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），公示期间，党员和群众可来电、来信、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问题进行调查核实，弄清事实真相，并以适当方式向反映人反馈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联系电话：0591-62990204  传真电话：0591-62990012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来信地址：福建省福州市连江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西江滨大道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福州理工学院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应用科学与工程学院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党支部     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中共福州理工学院应用科学与工程学院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学生第三支部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33730EB-E2BF-4CF5-A8BB-1CA1ABBCE7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370B6B-25F1-46AB-93B9-498757B360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0"/>
                              <w:szCs w:val="20"/>
                            </w:rPr>
                            <w:t>- 3 -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8"/>
                        <w:sz w:val="20"/>
                        <w:szCs w:val="20"/>
                      </w:rPr>
                      <w:instrText xml:space="preserve">PAGE 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8"/>
                        <w:sz w:val="20"/>
                        <w:szCs w:val="20"/>
                      </w:rPr>
                      <w:t>- 3 -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7CA"/>
    <w:rsid w:val="000A7DE4"/>
    <w:rsid w:val="001A2268"/>
    <w:rsid w:val="00260BCC"/>
    <w:rsid w:val="00283936"/>
    <w:rsid w:val="003202D7"/>
    <w:rsid w:val="003830E9"/>
    <w:rsid w:val="00442BC1"/>
    <w:rsid w:val="004453CB"/>
    <w:rsid w:val="00445E8F"/>
    <w:rsid w:val="0045157E"/>
    <w:rsid w:val="00594915"/>
    <w:rsid w:val="00611D78"/>
    <w:rsid w:val="0082554F"/>
    <w:rsid w:val="00883C3D"/>
    <w:rsid w:val="00AC4EF9"/>
    <w:rsid w:val="00B64F8C"/>
    <w:rsid w:val="00C3125D"/>
    <w:rsid w:val="00CC2F14"/>
    <w:rsid w:val="00D70618"/>
    <w:rsid w:val="00DA3E88"/>
    <w:rsid w:val="00DF12A2"/>
    <w:rsid w:val="00E36C15"/>
    <w:rsid w:val="00F57192"/>
    <w:rsid w:val="051B52D6"/>
    <w:rsid w:val="08E83F23"/>
    <w:rsid w:val="09E4687B"/>
    <w:rsid w:val="175748A1"/>
    <w:rsid w:val="21994DDA"/>
    <w:rsid w:val="22CF78C4"/>
    <w:rsid w:val="2316752D"/>
    <w:rsid w:val="2D0C69B5"/>
    <w:rsid w:val="3077719A"/>
    <w:rsid w:val="38514465"/>
    <w:rsid w:val="421F725B"/>
    <w:rsid w:val="5A561857"/>
    <w:rsid w:val="5E3930D9"/>
    <w:rsid w:val="614E01CE"/>
    <w:rsid w:val="63E10106"/>
    <w:rsid w:val="70C01673"/>
    <w:rsid w:val="7515693C"/>
    <w:rsid w:val="786524AE"/>
    <w:rsid w:val="7BE42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180</Words>
  <Characters>1030</Characters>
  <Lines>1</Lines>
  <Paragraphs>1</Paragraphs>
  <TotalTime>1</TotalTime>
  <ScaleCrop>false</ScaleCrop>
  <LinksUpToDate>false</LinksUpToDate>
  <CharactersWithSpaces>1208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2020-05-20T09:12:00Z</dcterms:created>
  <dc:creator>雨林木风</dc:creator>
  <cp:lastModifiedBy>连&amp;则@快乐</cp:lastModifiedBy>
  <cp:lastPrinted>2020-05-21T03:13:00Z</cp:lastPrinted>
  <dcterms:modified xsi:type="dcterms:W3CDTF">2021-05-14T02:25:11Z</dcterms:modified>
  <dc:title>预备党员转正公示表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